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5132"/>
      </w:tblGrid>
      <w:tr w:rsidR="005A0D42">
        <w:trPr>
          <w:trHeight w:val="9942"/>
        </w:trPr>
        <w:tc>
          <w:tcPr>
            <w:tcW w:w="9873" w:type="dxa"/>
            <w:gridSpan w:val="2"/>
            <w:vAlign w:val="center"/>
          </w:tcPr>
          <w:p w:rsidR="005A0D42" w:rsidRDefault="005A0D42">
            <w:pPr>
              <w:rPr>
                <w:b/>
                <w:bCs/>
              </w:rPr>
            </w:pPr>
            <w:r>
              <w:rPr>
                <w:b/>
                <w:bCs/>
              </w:rPr>
              <w:t>BİRİM ADI:</w:t>
            </w:r>
            <w:r w:rsidR="00075CFD">
              <w:rPr>
                <w:b/>
                <w:bCs/>
              </w:rPr>
              <w:t xml:space="preserve"> </w:t>
            </w:r>
            <w:r w:rsidR="0081703C">
              <w:rPr>
                <w:b/>
                <w:bCs/>
              </w:rPr>
              <w:t>İL DERNEKLER MÜDÜRLÜĞ</w:t>
            </w:r>
            <w:r w:rsidR="0049207B">
              <w:rPr>
                <w:b/>
                <w:bCs/>
              </w:rPr>
              <w:t>Ü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49207B" w:rsidRDefault="00CF1B44" w:rsidP="0049207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9207B">
              <w:rPr>
                <w:bCs/>
              </w:rPr>
              <w:t>Müdürlüğümüzü ilgilendiren herhangi bir faaliyet bulunmamaktadır.</w:t>
            </w:r>
          </w:p>
          <w:p w:rsidR="00A34670" w:rsidRDefault="00A34670">
            <w:pPr>
              <w:tabs>
                <w:tab w:val="left" w:pos="470"/>
              </w:tabs>
              <w:rPr>
                <w:b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A34670" w:rsidRPr="00CF1B44" w:rsidRDefault="00CF1B44">
            <w:pPr>
              <w:tabs>
                <w:tab w:val="left" w:pos="470"/>
              </w:tabs>
            </w:pPr>
            <w:r>
              <w:rPr>
                <w:b/>
              </w:rPr>
              <w:t xml:space="preserve">         </w:t>
            </w:r>
            <w:r w:rsidR="0049207B">
              <w:rPr>
                <w:bCs/>
                <w:sz w:val="22"/>
                <w:szCs w:val="22"/>
              </w:rPr>
              <w:t xml:space="preserve">Kalite Yönetim Sistemini etkileyecek herhangi </w:t>
            </w:r>
            <w:proofErr w:type="gramStart"/>
            <w:r w:rsidR="0049207B">
              <w:rPr>
                <w:bCs/>
                <w:sz w:val="22"/>
                <w:szCs w:val="22"/>
              </w:rPr>
              <w:t>revizyon</w:t>
            </w:r>
            <w:proofErr w:type="gramEnd"/>
            <w:r w:rsidR="0049207B">
              <w:rPr>
                <w:bCs/>
                <w:sz w:val="22"/>
                <w:szCs w:val="22"/>
              </w:rPr>
              <w:t>-</w:t>
            </w:r>
            <w:proofErr w:type="spellStart"/>
            <w:r w:rsidR="0049207B">
              <w:rPr>
                <w:bCs/>
                <w:sz w:val="22"/>
                <w:szCs w:val="22"/>
              </w:rPr>
              <w:t>döf</w:t>
            </w:r>
            <w:proofErr w:type="spellEnd"/>
            <w:r w:rsidR="0049207B">
              <w:rPr>
                <w:bCs/>
                <w:sz w:val="22"/>
                <w:szCs w:val="22"/>
              </w:rPr>
              <w:t xml:space="preserve"> bulunmamaktadır.</w:t>
            </w:r>
          </w:p>
          <w:p w:rsidR="00A34670" w:rsidRDefault="00A34670">
            <w:pPr>
              <w:tabs>
                <w:tab w:val="left" w:pos="470"/>
              </w:tabs>
              <w:rPr>
                <w:b/>
              </w:rPr>
            </w:pPr>
          </w:p>
          <w:p w:rsidR="00A34670" w:rsidRDefault="00A34670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>3.     Eğitim Prosedürüne göre yapılan eğitimlerin değerlendirilmesi:</w:t>
            </w:r>
          </w:p>
          <w:p w:rsidR="005A0D42" w:rsidRDefault="00CF1B44" w:rsidP="00541F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B00E58">
              <w:rPr>
                <w:bCs/>
              </w:rPr>
              <w:t xml:space="preserve">Müdürlüğümüz personeline 01 Mayıs 2017 mevzuattaki yenilikler ile ilgili Birim içi </w:t>
            </w:r>
            <w:proofErr w:type="gramStart"/>
            <w:r w:rsidR="00B00E58">
              <w:rPr>
                <w:bCs/>
              </w:rPr>
              <w:t xml:space="preserve">eğitim </w:t>
            </w:r>
            <w:r w:rsidR="00D21B40">
              <w:rPr>
                <w:bCs/>
              </w:rPr>
              <w:t xml:space="preserve">  </w:t>
            </w:r>
            <w:r w:rsidR="00B00E58">
              <w:rPr>
                <w:bCs/>
              </w:rPr>
              <w:t>verilmiş</w:t>
            </w:r>
            <w:proofErr w:type="gramEnd"/>
            <w:r w:rsidR="00B00E58">
              <w:rPr>
                <w:bCs/>
              </w:rPr>
              <w:t xml:space="preserve"> olup ayrıca</w:t>
            </w:r>
            <w:r w:rsidR="0049207B">
              <w:rPr>
                <w:bCs/>
              </w:rPr>
              <w:t xml:space="preserve"> KYS masa başı eğitimleri dönem </w:t>
            </w:r>
            <w:proofErr w:type="spellStart"/>
            <w:r w:rsidR="0049207B">
              <w:rPr>
                <w:bCs/>
              </w:rPr>
              <w:t>dönem</w:t>
            </w:r>
            <w:proofErr w:type="spellEnd"/>
            <w:r w:rsidR="0049207B">
              <w:rPr>
                <w:bCs/>
              </w:rPr>
              <w:t xml:space="preserve"> verilmektedir.</w:t>
            </w:r>
          </w:p>
          <w:p w:rsidR="005A0D42" w:rsidRDefault="005A0D42" w:rsidP="00541FC1">
            <w:pPr>
              <w:jc w:val="both"/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Müşteri geri beslemesi (</w:t>
            </w:r>
            <w:proofErr w:type="gramStart"/>
            <w:r w:rsidR="005A0D42">
              <w:rPr>
                <w:b/>
              </w:rPr>
              <w:t>şikayet</w:t>
            </w:r>
            <w:proofErr w:type="gramEnd"/>
            <w:r w:rsidR="005A0D42">
              <w:rPr>
                <w:b/>
              </w:rPr>
              <w:t>, öneri, anket, toplantı vb.):</w:t>
            </w:r>
          </w:p>
          <w:p w:rsidR="0049207B" w:rsidRDefault="006A3664" w:rsidP="00541FC1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bookmarkStart w:id="0" w:name="_GoBack"/>
            <w:r w:rsidR="0049207B">
              <w:rPr>
                <w:bCs/>
              </w:rPr>
              <w:t>201</w:t>
            </w:r>
            <w:r w:rsidR="00146E1C">
              <w:rPr>
                <w:bCs/>
              </w:rPr>
              <w:t>7</w:t>
            </w:r>
            <w:r w:rsidR="0049207B">
              <w:rPr>
                <w:bCs/>
              </w:rPr>
              <w:t xml:space="preserve"> yılı Personel memnuniyet anket değerlendirmeleri yapılmış olup, KYS Bürosuna</w:t>
            </w:r>
          </w:p>
          <w:p w:rsidR="0049207B" w:rsidRDefault="0049207B" w:rsidP="00541FC1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gramStart"/>
            <w:r>
              <w:rPr>
                <w:bCs/>
              </w:rPr>
              <w:t>gönderilmiştir</w:t>
            </w:r>
            <w:proofErr w:type="gramEnd"/>
            <w:r>
              <w:rPr>
                <w:bCs/>
              </w:rPr>
              <w:t>.201</w:t>
            </w:r>
            <w:r w:rsidR="00146E1C">
              <w:rPr>
                <w:bCs/>
              </w:rPr>
              <w:t>8</w:t>
            </w:r>
            <w:r>
              <w:rPr>
                <w:bCs/>
              </w:rPr>
              <w:t xml:space="preserve"> anket çalışmalarımız devam etmektedir.</w:t>
            </w:r>
          </w:p>
          <w:bookmarkEnd w:id="0"/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KYS İç/</w:t>
            </w:r>
            <w:r w:rsidR="00FB33CF">
              <w:rPr>
                <w:b/>
              </w:rPr>
              <w:t xml:space="preserve">Dış </w:t>
            </w:r>
            <w:r w:rsidR="008D3633">
              <w:rPr>
                <w:b/>
              </w:rPr>
              <w:t>tetkik</w:t>
            </w:r>
            <w:r w:rsidR="005A0D42">
              <w:rPr>
                <w:b/>
              </w:rPr>
              <w:t xml:space="preserve"> raporlarının değerlendirilmesi:</w:t>
            </w:r>
          </w:p>
          <w:p w:rsidR="005A0D42" w:rsidRDefault="006A3664" w:rsidP="00541F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9207B">
              <w:rPr>
                <w:bCs/>
              </w:rPr>
              <w:t xml:space="preserve">Müdürlüğümüzde İç </w:t>
            </w:r>
            <w:r w:rsidR="00F57DC4">
              <w:rPr>
                <w:bCs/>
              </w:rPr>
              <w:t xml:space="preserve">Tetkik raporunda </w:t>
            </w:r>
            <w:r w:rsidR="00F57DC4" w:rsidRPr="00F57DC4">
              <w:rPr>
                <w:bCs/>
              </w:rPr>
              <w:t>Siyasi Partiler ve Sendikalar ile ilgili yapılan iş ve işleml</w:t>
            </w:r>
            <w:r w:rsidR="00F57DC4">
              <w:rPr>
                <w:bCs/>
              </w:rPr>
              <w:t xml:space="preserve">er için İş Akış Şeması, Talimat ve Kalite Hedefinin oluşturulmadığı görülmüştür. Bu dokümanların oluşturulup KYS Bürosuna gönderilmesi </w:t>
            </w:r>
            <w:proofErr w:type="spellStart"/>
            <w:r w:rsidR="00F57DC4">
              <w:rPr>
                <w:bCs/>
              </w:rPr>
              <w:t>sağlanılacaktır</w:t>
            </w:r>
            <w:proofErr w:type="spellEnd"/>
            <w:r w:rsidR="00F57DC4">
              <w:rPr>
                <w:bCs/>
              </w:rPr>
              <w:t>.</w:t>
            </w:r>
            <w:r w:rsidR="00960068">
              <w:rPr>
                <w:bCs/>
              </w:rPr>
              <w:t xml:space="preserve"> </w:t>
            </w:r>
            <w:r w:rsidR="0049207B">
              <w:rPr>
                <w:bCs/>
              </w:rPr>
              <w:t>Dış Tetkikte herhangi bir olumsuzluk yaşanmamıştır.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6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Düzeltici Önleyici faaliyetlerin sonuçları: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F1B44">
              <w:rPr>
                <w:bCs/>
              </w:rPr>
              <w:t xml:space="preserve">Düzeltici </w:t>
            </w:r>
            <w:r w:rsidR="002A0142">
              <w:rPr>
                <w:bCs/>
              </w:rPr>
              <w:t>önleyici faaliyetlerde aksaklık</w:t>
            </w:r>
            <w:r w:rsidR="00CF1B44">
              <w:rPr>
                <w:bCs/>
              </w:rPr>
              <w:t xml:space="preserve"> bulunmamaktadır.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7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Kalite politikasının uygulanması ile hedeflerin gözden geçirilmesi</w:t>
            </w:r>
            <w:r w:rsidR="005A0D42">
              <w:rPr>
                <w:b/>
                <w:lang w:val="de-DE"/>
              </w:rPr>
              <w:t>:</w:t>
            </w:r>
          </w:p>
          <w:p w:rsidR="005A0D42" w:rsidRDefault="006A3664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proofErr w:type="spellStart"/>
            <w:r>
              <w:rPr>
                <w:lang w:val="de-DE"/>
              </w:rPr>
              <w:t>Hedeflerde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herhangi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aksaklık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yaşanmamaktadır</w:t>
            </w:r>
            <w:proofErr w:type="spellEnd"/>
            <w:r>
              <w:rPr>
                <w:lang w:val="de-DE"/>
              </w:rPr>
              <w:t>.</w:t>
            </w:r>
          </w:p>
          <w:p w:rsidR="005A0D42" w:rsidRDefault="005A0D42">
            <w:pPr>
              <w:rPr>
                <w:lang w:val="de-DE"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8</w:t>
            </w:r>
            <w:r w:rsidR="005A0D42">
              <w:rPr>
                <w:b/>
                <w:lang w:val="de-DE"/>
              </w:rPr>
              <w:t>.</w:t>
            </w:r>
            <w:r w:rsidR="005A0D42">
              <w:rPr>
                <w:b/>
                <w:lang w:val="de-DE"/>
              </w:rPr>
              <w:tab/>
            </w:r>
            <w:r w:rsidR="005A0D42">
              <w:rPr>
                <w:b/>
              </w:rPr>
              <w:t>Kaynakların Durumu:</w:t>
            </w:r>
          </w:p>
          <w:p w:rsidR="005A0D42" w:rsidRDefault="006A3664" w:rsidP="0049207B">
            <w:pPr>
              <w:ind w:left="555" w:hanging="555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960068">
              <w:rPr>
                <w:bCs/>
              </w:rPr>
              <w:t>1 adet yazıcı ve tarayıcıya ihtiyaç duyulmaktadır.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İyileştirme Önerileri, İstek ve beklentiler: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9207B">
              <w:rPr>
                <w:bCs/>
              </w:rPr>
              <w:t>Yoktur</w:t>
            </w:r>
            <w:r w:rsidR="00CF1B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10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Uygulanması Planlanan Faaliyetler:</w:t>
            </w:r>
          </w:p>
          <w:p w:rsidR="005A0D42" w:rsidRDefault="00CF1B44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9207B">
              <w:rPr>
                <w:bCs/>
              </w:rPr>
              <w:t>Personele hizmet içi ve masa başı eğitimlerinin devamının sağlanması</w:t>
            </w:r>
            <w:r>
              <w:rPr>
                <w:bCs/>
              </w:rPr>
              <w:t>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</w:t>
            </w:r>
            <w:r w:rsidR="00A34670"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Öneriler:</w:t>
            </w:r>
          </w:p>
          <w:p w:rsidR="005A0D42" w:rsidRDefault="00CF1B44" w:rsidP="00FA3D10">
            <w:r>
              <w:t xml:space="preserve">    </w:t>
            </w:r>
            <w:r w:rsidR="00FA3D10">
              <w:t xml:space="preserve">     </w:t>
            </w:r>
            <w:r w:rsidR="0049207B">
              <w:t>Yoktur.</w:t>
            </w:r>
          </w:p>
          <w:p w:rsidR="00FA3D10" w:rsidRDefault="00FA3D10" w:rsidP="00FA3D10"/>
          <w:p w:rsidR="00FA3D10" w:rsidRDefault="00FA3D10" w:rsidP="00FA3D10"/>
        </w:tc>
      </w:tr>
      <w:tr w:rsidR="005A0D42">
        <w:trPr>
          <w:cantSplit/>
          <w:trHeight w:val="504"/>
        </w:trPr>
        <w:tc>
          <w:tcPr>
            <w:tcW w:w="4741" w:type="dxa"/>
            <w:vAlign w:val="center"/>
          </w:tcPr>
          <w:p w:rsidR="005A0D42" w:rsidRPr="009D07A2" w:rsidRDefault="005A0D42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Hazırlayan (Birim Müdürü)</w:t>
            </w:r>
          </w:p>
        </w:tc>
        <w:tc>
          <w:tcPr>
            <w:tcW w:w="5132" w:type="dxa"/>
            <w:vAlign w:val="center"/>
          </w:tcPr>
          <w:p w:rsidR="005A0D42" w:rsidRPr="009D07A2" w:rsidRDefault="005A0D42" w:rsidP="008D3633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Onaylayan (</w:t>
            </w:r>
            <w:r w:rsidR="008D3633" w:rsidRPr="009D07A2">
              <w:rPr>
                <w:b/>
              </w:rPr>
              <w:t>Yönetim Temsilcisi</w:t>
            </w:r>
            <w:r w:rsidRPr="009D07A2">
              <w:rPr>
                <w:b/>
              </w:rPr>
              <w:t>)</w:t>
            </w:r>
          </w:p>
        </w:tc>
      </w:tr>
      <w:tr w:rsidR="005A0D42">
        <w:trPr>
          <w:cantSplit/>
          <w:trHeight w:val="341"/>
        </w:trPr>
        <w:tc>
          <w:tcPr>
            <w:tcW w:w="4741" w:type="dxa"/>
            <w:vAlign w:val="center"/>
          </w:tcPr>
          <w:p w:rsidR="005A0D42" w:rsidRPr="009D07A2" w:rsidRDefault="005A0D42" w:rsidP="003262A9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  <w:r w:rsidR="00FA3D10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5132" w:type="dxa"/>
            <w:vAlign w:val="center"/>
          </w:tcPr>
          <w:p w:rsidR="005A0D42" w:rsidRPr="009D07A2" w:rsidRDefault="005A0D42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5A0D42">
        <w:trPr>
          <w:cantSplit/>
          <w:trHeight w:val="415"/>
        </w:trPr>
        <w:tc>
          <w:tcPr>
            <w:tcW w:w="4741" w:type="dxa"/>
            <w:vAlign w:val="center"/>
          </w:tcPr>
          <w:p w:rsidR="005A0D42" w:rsidRPr="009D07A2" w:rsidRDefault="005A0D42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  <w:tc>
          <w:tcPr>
            <w:tcW w:w="5132" w:type="dxa"/>
            <w:vAlign w:val="center"/>
          </w:tcPr>
          <w:p w:rsidR="005A0D42" w:rsidRPr="009D07A2" w:rsidRDefault="005A0D42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</w:tr>
    </w:tbl>
    <w:p w:rsidR="005A0D42" w:rsidRDefault="005A0D42"/>
    <w:sectPr w:rsidR="005A0D42">
      <w:headerReference w:type="default" r:id="rId7"/>
      <w:pgSz w:w="11906" w:h="16838" w:code="9"/>
      <w:pgMar w:top="567" w:right="284" w:bottom="720" w:left="851" w:header="34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13" w:rsidRDefault="00D41813" w:rsidP="005A0D42">
      <w:r>
        <w:separator/>
      </w:r>
    </w:p>
  </w:endnote>
  <w:endnote w:type="continuationSeparator" w:id="0">
    <w:p w:rsidR="00D41813" w:rsidRDefault="00D41813" w:rsidP="005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13" w:rsidRDefault="00D41813" w:rsidP="005A0D42">
      <w:r>
        <w:separator/>
      </w:r>
    </w:p>
  </w:footnote>
  <w:footnote w:type="continuationSeparator" w:id="0">
    <w:p w:rsidR="00D41813" w:rsidRDefault="00D41813" w:rsidP="005A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544"/>
      <w:gridCol w:w="1559"/>
      <w:gridCol w:w="1843"/>
      <w:gridCol w:w="1559"/>
    </w:tblGrid>
    <w:tr w:rsidR="00206B4E" w:rsidTr="00206B4E">
      <w:trPr>
        <w:cantSplit/>
        <w:trHeight w:val="540"/>
      </w:trPr>
      <w:tc>
        <w:tcPr>
          <w:tcW w:w="1418" w:type="dxa"/>
          <w:vMerge w:val="restart"/>
          <w:vAlign w:val="center"/>
        </w:tcPr>
        <w:p w:rsidR="00206B4E" w:rsidRPr="009C6931" w:rsidRDefault="00BD217F" w:rsidP="005A0D42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0100" cy="1019175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06B4E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206B4E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 </w:t>
          </w:r>
        </w:p>
        <w:p w:rsidR="00206B4E" w:rsidRPr="00796F29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Kalite Yönetim Sistem Bürosu</w:t>
          </w: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MV.33.</w:t>
          </w:r>
          <w:proofErr w:type="gramStart"/>
          <w:r w:rsidRPr="00AC3B76">
            <w:rPr>
              <w:b/>
              <w:bCs/>
              <w:sz w:val="20"/>
              <w:szCs w:val="20"/>
            </w:rPr>
            <w:t>KYS.RP</w:t>
          </w:r>
          <w:proofErr w:type="gramEnd"/>
          <w:r w:rsidRPr="00AC3B76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559" w:type="dxa"/>
          <w:vMerge w:val="restart"/>
        </w:tcPr>
        <w:p w:rsidR="00206B4E" w:rsidRPr="00AC3B76" w:rsidRDefault="00BD217F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904875" cy="108585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 w:val="restart"/>
          <w:vAlign w:val="center"/>
        </w:tcPr>
        <w:p w:rsidR="00206B4E" w:rsidRPr="0023095E" w:rsidRDefault="00206B4E" w:rsidP="005A0D42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</w:rPr>
            <w:t>Birim Performans Raporu</w:t>
          </w: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559" w:type="dxa"/>
          <w:vMerge/>
        </w:tcPr>
        <w:p w:rsidR="00206B4E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206B4E" w:rsidRPr="00AC3B76" w:rsidRDefault="00D82FF8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206B4E" w:rsidRPr="00AC3B76" w:rsidRDefault="00D82FF8" w:rsidP="002712D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15.0</w:t>
          </w:r>
          <w:r w:rsidR="002712D6">
            <w:rPr>
              <w:b/>
              <w:bCs/>
              <w:sz w:val="20"/>
              <w:szCs w:val="20"/>
            </w:rPr>
            <w:t>5</w:t>
          </w:r>
          <w:r>
            <w:rPr>
              <w:b/>
              <w:bCs/>
              <w:sz w:val="20"/>
              <w:szCs w:val="20"/>
            </w:rPr>
            <w:t>.2013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rStyle w:val="SayfaNumaras"/>
              <w:b/>
              <w:sz w:val="20"/>
              <w:szCs w:val="20"/>
            </w:rPr>
            <w:fldChar w:fldCharType="begin"/>
          </w:r>
          <w:r w:rsidRPr="00AC3B76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AC3B76">
            <w:rPr>
              <w:rStyle w:val="SayfaNumaras"/>
              <w:b/>
              <w:sz w:val="20"/>
              <w:szCs w:val="20"/>
            </w:rPr>
            <w:fldChar w:fldCharType="separate"/>
          </w:r>
          <w:r w:rsidR="00541FC1">
            <w:rPr>
              <w:rStyle w:val="SayfaNumaras"/>
              <w:b/>
              <w:noProof/>
              <w:sz w:val="20"/>
              <w:szCs w:val="20"/>
            </w:rPr>
            <w:t>1</w:t>
          </w:r>
          <w:r w:rsidRPr="00AC3B76">
            <w:rPr>
              <w:rStyle w:val="SayfaNumaras"/>
              <w:b/>
              <w:sz w:val="20"/>
              <w:szCs w:val="20"/>
            </w:rPr>
            <w:fldChar w:fldCharType="end"/>
          </w:r>
          <w:r w:rsidRPr="00AC3B76">
            <w:rPr>
              <w:b/>
              <w:bCs/>
              <w:sz w:val="20"/>
              <w:szCs w:val="20"/>
            </w:rPr>
            <w:t>/</w:t>
          </w:r>
          <w:r w:rsidRPr="00AC3B76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5A0D42" w:rsidRDefault="005A0D42">
    <w:pPr>
      <w:pStyle w:val="stBilgi"/>
    </w:pPr>
  </w:p>
  <w:p w:rsidR="005A0D42" w:rsidRDefault="005A0D42">
    <w:pPr>
      <w:pStyle w:val="stBilgi"/>
      <w:rPr>
        <w:sz w:val="2"/>
      </w:rPr>
    </w:pPr>
  </w:p>
  <w:p w:rsidR="005A0D42" w:rsidRDefault="005A0D42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159"/>
    <w:multiLevelType w:val="hybridMultilevel"/>
    <w:tmpl w:val="C152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E6E8EF1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33"/>
    <w:rsid w:val="00030202"/>
    <w:rsid w:val="000741AB"/>
    <w:rsid w:val="00075CFD"/>
    <w:rsid w:val="00086F77"/>
    <w:rsid w:val="00146E1C"/>
    <w:rsid w:val="001E7AAB"/>
    <w:rsid w:val="00206B4E"/>
    <w:rsid w:val="002712D6"/>
    <w:rsid w:val="0027679F"/>
    <w:rsid w:val="002A0142"/>
    <w:rsid w:val="00306C1B"/>
    <w:rsid w:val="003262A9"/>
    <w:rsid w:val="003662B7"/>
    <w:rsid w:val="004435B7"/>
    <w:rsid w:val="0049207B"/>
    <w:rsid w:val="004A0C92"/>
    <w:rsid w:val="00541FC1"/>
    <w:rsid w:val="005A0D42"/>
    <w:rsid w:val="005E4138"/>
    <w:rsid w:val="005F6765"/>
    <w:rsid w:val="0060235D"/>
    <w:rsid w:val="006A3664"/>
    <w:rsid w:val="007A7516"/>
    <w:rsid w:val="007C0A9D"/>
    <w:rsid w:val="007E0214"/>
    <w:rsid w:val="007E31AC"/>
    <w:rsid w:val="0081294A"/>
    <w:rsid w:val="0081703C"/>
    <w:rsid w:val="00846576"/>
    <w:rsid w:val="008644B2"/>
    <w:rsid w:val="008D3633"/>
    <w:rsid w:val="00960068"/>
    <w:rsid w:val="009D07A2"/>
    <w:rsid w:val="00A34670"/>
    <w:rsid w:val="00AC3B76"/>
    <w:rsid w:val="00B00E58"/>
    <w:rsid w:val="00B01079"/>
    <w:rsid w:val="00B028D4"/>
    <w:rsid w:val="00B25211"/>
    <w:rsid w:val="00BB6570"/>
    <w:rsid w:val="00BD217F"/>
    <w:rsid w:val="00C05D11"/>
    <w:rsid w:val="00C93F4F"/>
    <w:rsid w:val="00CF1B44"/>
    <w:rsid w:val="00CF2B2A"/>
    <w:rsid w:val="00D21B40"/>
    <w:rsid w:val="00D35FB3"/>
    <w:rsid w:val="00D41813"/>
    <w:rsid w:val="00D82FF8"/>
    <w:rsid w:val="00E05D39"/>
    <w:rsid w:val="00E55CEB"/>
    <w:rsid w:val="00F56044"/>
    <w:rsid w:val="00F57DC4"/>
    <w:rsid w:val="00F57F15"/>
    <w:rsid w:val="00FA228F"/>
    <w:rsid w:val="00FA3D10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7D2199-33DB-4E78-A509-BC910E2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Girintisi">
    <w:name w:val="Body Text Indent"/>
    <w:basedOn w:val="Normal"/>
    <w:semiHidden/>
    <w:pPr>
      <w:ind w:left="360"/>
      <w:jc w:val="both"/>
    </w:pPr>
    <w:rPr>
      <w:b/>
      <w:bCs/>
    </w:rPr>
  </w:style>
  <w:style w:type="paragraph" w:customStyle="1" w:styleId="AANumbering">
    <w:name w:val="AA Numbering"/>
    <w:basedOn w:val="Normal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ListeNumaras3">
    <w:name w:val="List Number 3"/>
    <w:basedOn w:val="Normal"/>
    <w:semiHidden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GvdeMetni">
    <w:name w:val="Body Text"/>
    <w:aliases w:val="Body"/>
    <w:basedOn w:val="Normal"/>
    <w:semiHidden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Girintisi3">
    <w:name w:val="Body Text Indent 3"/>
    <w:basedOn w:val="Normal"/>
    <w:semiHidden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rsid w:val="00BB6570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70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 ÇİFTÇİ</cp:lastModifiedBy>
  <cp:revision>16</cp:revision>
  <cp:lastPrinted>2018-05-16T12:42:00Z</cp:lastPrinted>
  <dcterms:created xsi:type="dcterms:W3CDTF">2017-03-09T12:31:00Z</dcterms:created>
  <dcterms:modified xsi:type="dcterms:W3CDTF">2018-05-16T12:43:00Z</dcterms:modified>
</cp:coreProperties>
</file>