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90" w:rsidRDefault="00876A90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1.AMAÇ</w:t>
      </w:r>
      <w:r w:rsidRPr="006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90" w:rsidRPr="006B0E4B" w:rsidRDefault="00876A90" w:rsidP="008B0F5A">
      <w:pPr>
        <w:jc w:val="both"/>
        <w:rPr>
          <w:rFonts w:ascii="Times New Roman" w:hAnsi="Times New Roman" w:cs="Times New Roman"/>
          <w:sz w:val="24"/>
          <w:szCs w:val="24"/>
        </w:rPr>
      </w:pPr>
      <w:r w:rsidRPr="00A042C9">
        <w:rPr>
          <w:rFonts w:ascii="Times New Roman" w:hAnsi="Times New Roman" w:cs="Times New Roman"/>
          <w:sz w:val="24"/>
          <w:szCs w:val="24"/>
        </w:rPr>
        <w:t xml:space="preserve">Mersin Valiliği </w:t>
      </w:r>
      <w:r>
        <w:rPr>
          <w:rFonts w:ascii="Times New Roman" w:hAnsi="Times New Roman" w:cs="Times New Roman"/>
          <w:sz w:val="24"/>
          <w:szCs w:val="24"/>
        </w:rPr>
        <w:t xml:space="preserve">birimlerine </w:t>
      </w:r>
      <w:r w:rsidRPr="00A042C9">
        <w:rPr>
          <w:rFonts w:ascii="Times New Roman" w:hAnsi="Times New Roman" w:cs="Times New Roman"/>
          <w:sz w:val="24"/>
          <w:szCs w:val="24"/>
        </w:rPr>
        <w:t xml:space="preserve">satın alma </w:t>
      </w:r>
      <w:r>
        <w:rPr>
          <w:rFonts w:ascii="Times New Roman" w:hAnsi="Times New Roman" w:cs="Times New Roman"/>
          <w:sz w:val="24"/>
          <w:szCs w:val="24"/>
        </w:rPr>
        <w:t>veya</w:t>
      </w:r>
      <w:r w:rsidRPr="00A042C9">
        <w:rPr>
          <w:rFonts w:ascii="Times New Roman" w:hAnsi="Times New Roman" w:cs="Times New Roman"/>
          <w:sz w:val="24"/>
          <w:szCs w:val="24"/>
        </w:rPr>
        <w:t xml:space="preserve"> hibe yoluyla gelen malzemeni</w:t>
      </w:r>
      <w:r>
        <w:rPr>
          <w:rFonts w:ascii="Times New Roman" w:hAnsi="Times New Roman" w:cs="Times New Roman"/>
          <w:sz w:val="24"/>
          <w:szCs w:val="24"/>
        </w:rPr>
        <w:t>n teslim alınması, birimlere teslim edilmesi ve malzemelerin düşümünün KBS Taşınır Kayıt ve Yönetim Sistemine işlenip kayıtlara alınması işlemlerini yürütmek.</w:t>
      </w:r>
    </w:p>
    <w:p w:rsidR="00876A90" w:rsidRPr="006B0E4B" w:rsidRDefault="00876A90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2.SORUMLULAR</w:t>
      </w:r>
    </w:p>
    <w:p w:rsidR="00876A90" w:rsidRPr="00D54EE3" w:rsidRDefault="00876A90" w:rsidP="00D54EE3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E3">
        <w:rPr>
          <w:rFonts w:ascii="Times New Roman" w:hAnsi="Times New Roman" w:cs="Times New Roman"/>
          <w:sz w:val="24"/>
          <w:szCs w:val="24"/>
        </w:rPr>
        <w:t>Kurum Üst Yöneticisi</w:t>
      </w:r>
    </w:p>
    <w:p w:rsidR="00876A90" w:rsidRDefault="00876A90" w:rsidP="00D54EE3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E3">
        <w:rPr>
          <w:rFonts w:ascii="Times New Roman" w:hAnsi="Times New Roman" w:cs="Times New Roman"/>
          <w:sz w:val="24"/>
          <w:szCs w:val="24"/>
        </w:rPr>
        <w:t>Muayene ve Kabul Komisyonu</w:t>
      </w:r>
    </w:p>
    <w:p w:rsidR="000C3091" w:rsidRDefault="00876A90" w:rsidP="00C97124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EE3">
        <w:rPr>
          <w:rFonts w:ascii="Times New Roman" w:hAnsi="Times New Roman" w:cs="Times New Roman"/>
          <w:sz w:val="24"/>
          <w:szCs w:val="24"/>
        </w:rPr>
        <w:t>Taşınır Kayıt Yetkilisi</w:t>
      </w:r>
    </w:p>
    <w:p w:rsidR="00876A90" w:rsidRPr="007266C3" w:rsidRDefault="000C3091" w:rsidP="00C97124">
      <w:pPr>
        <w:pStyle w:val="Liste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Kontrol Yetkilisi</w:t>
      </w:r>
      <w:r w:rsidR="00876A90" w:rsidRPr="007266C3">
        <w:rPr>
          <w:rFonts w:ascii="Times New Roman" w:hAnsi="Times New Roman" w:cs="Times New Roman"/>
          <w:sz w:val="24"/>
          <w:szCs w:val="24"/>
        </w:rPr>
        <w:tab/>
      </w:r>
    </w:p>
    <w:p w:rsidR="00876A90" w:rsidRPr="0021323E" w:rsidRDefault="00876A90" w:rsidP="0021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A90" w:rsidRDefault="00876A90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3.UYGULAMA</w:t>
      </w:r>
    </w:p>
    <w:p w:rsidR="00876A90" w:rsidRPr="006B0E4B" w:rsidRDefault="00876A90" w:rsidP="008B0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Ambar malzeme girişi;</w:t>
      </w:r>
    </w:p>
    <w:p w:rsidR="00876A90" w:rsidRPr="008163C3" w:rsidRDefault="00876A90" w:rsidP="003522A9">
      <w:pPr>
        <w:pStyle w:val="ListeParagraf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3C3">
        <w:rPr>
          <w:rFonts w:ascii="Times New Roman" w:hAnsi="Times New Roman" w:cs="Times New Roman"/>
          <w:sz w:val="24"/>
          <w:szCs w:val="24"/>
        </w:rPr>
        <w:t xml:space="preserve">Valilikçe satın alınan ve Valiliğe hibe edilen malzemeler muayene kabul komisyonunca kontrol edilip, </w:t>
      </w:r>
      <w:r>
        <w:rPr>
          <w:rFonts w:ascii="Times New Roman" w:hAnsi="Times New Roman" w:cs="Times New Roman"/>
          <w:sz w:val="24"/>
          <w:szCs w:val="24"/>
        </w:rPr>
        <w:t xml:space="preserve">Muayene ve Kabul Tutanağı, Protokol ve Taşınır İşlem Fişi ile </w:t>
      </w:r>
      <w:r w:rsidRPr="008163C3">
        <w:rPr>
          <w:rFonts w:ascii="Times New Roman" w:hAnsi="Times New Roman" w:cs="Times New Roman"/>
          <w:sz w:val="24"/>
          <w:szCs w:val="24"/>
        </w:rPr>
        <w:t>teslim alınır.</w:t>
      </w:r>
    </w:p>
    <w:p w:rsidR="00876A90" w:rsidRPr="008163C3" w:rsidRDefault="00876A90" w:rsidP="003522A9">
      <w:pPr>
        <w:pStyle w:val="ListeParagraf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3C3">
        <w:rPr>
          <w:rFonts w:ascii="Times New Roman" w:hAnsi="Times New Roman" w:cs="Times New Roman"/>
          <w:sz w:val="24"/>
          <w:szCs w:val="24"/>
        </w:rPr>
        <w:t xml:space="preserve">Taşınır Kayıt ve Kontrol Yetkilisi tarafından </w:t>
      </w:r>
      <w:r>
        <w:rPr>
          <w:rFonts w:ascii="Times New Roman" w:hAnsi="Times New Roman" w:cs="Times New Roman"/>
          <w:sz w:val="24"/>
          <w:szCs w:val="24"/>
        </w:rPr>
        <w:t>KBS Taşınır Kayıt ve Yönetim Sistemi</w:t>
      </w:r>
      <w:r w:rsidRPr="008163C3">
        <w:rPr>
          <w:rFonts w:ascii="Times New Roman" w:hAnsi="Times New Roman" w:cs="Times New Roman"/>
          <w:sz w:val="24"/>
          <w:szCs w:val="24"/>
        </w:rPr>
        <w:t xml:space="preserve"> üzerinden Taşınır İşlem Fişi kesilerek ambar giriş kayıtları oluşturulur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A90" w:rsidRPr="008163C3" w:rsidRDefault="00876A90" w:rsidP="003522A9">
      <w:pPr>
        <w:pStyle w:val="ListeParagraf"/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3C3">
        <w:rPr>
          <w:rFonts w:ascii="Times New Roman" w:hAnsi="Times New Roman" w:cs="Times New Roman"/>
          <w:sz w:val="24"/>
          <w:szCs w:val="24"/>
        </w:rPr>
        <w:t>Taşınır İşlem Fişinin bir nüshası yazı ile İl Defterdarlığı Muhasebe Müdürlüğüne bir nüshası da Taşınır İşlem Fişi dosyasında muhafaza edilir.</w:t>
      </w:r>
    </w:p>
    <w:p w:rsidR="00876A90" w:rsidRDefault="00876A90" w:rsidP="0081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A90" w:rsidRDefault="00876A90" w:rsidP="00816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3C3">
        <w:rPr>
          <w:rFonts w:ascii="Times New Roman" w:hAnsi="Times New Roman" w:cs="Times New Roman"/>
          <w:b/>
          <w:bCs/>
          <w:sz w:val="24"/>
          <w:szCs w:val="24"/>
        </w:rPr>
        <w:t>3.2 Ambar Malzeme Çıkışı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876A90" w:rsidRPr="008163C3" w:rsidRDefault="00876A90" w:rsidP="0081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A90" w:rsidRPr="008163C3" w:rsidRDefault="00876A90" w:rsidP="003522A9">
      <w:pPr>
        <w:pStyle w:val="ListeParagraf"/>
        <w:numPr>
          <w:ilvl w:val="0"/>
          <w:numId w:val="12"/>
        </w:numPr>
        <w:spacing w:before="120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3C3">
        <w:rPr>
          <w:rFonts w:ascii="Times New Roman" w:hAnsi="Times New Roman" w:cs="Times New Roman"/>
          <w:sz w:val="24"/>
          <w:szCs w:val="24"/>
        </w:rPr>
        <w:t>Valilik birim yetkilisinden imzalı olarak gönderilen Taşınır İstek Fişinde belirtilen ihtiyaçlar ambar stok durumuna göre karşılanıp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63C3">
        <w:rPr>
          <w:rFonts w:ascii="Times New Roman" w:hAnsi="Times New Roman" w:cs="Times New Roman"/>
          <w:sz w:val="24"/>
          <w:szCs w:val="24"/>
        </w:rPr>
        <w:t xml:space="preserve"> taşınır işlem </w:t>
      </w:r>
      <w:r>
        <w:rPr>
          <w:rFonts w:ascii="Times New Roman" w:hAnsi="Times New Roman" w:cs="Times New Roman"/>
          <w:sz w:val="24"/>
          <w:szCs w:val="24"/>
        </w:rPr>
        <w:t xml:space="preserve">fişi ile birim yetkilisine teslim edilip imzalatılarak KBS Taşınır Kayıt ve Yönetim Sisteminden </w:t>
      </w:r>
      <w:r w:rsidRPr="008163C3">
        <w:rPr>
          <w:rFonts w:ascii="Times New Roman" w:hAnsi="Times New Roman" w:cs="Times New Roman"/>
          <w:sz w:val="24"/>
          <w:szCs w:val="24"/>
        </w:rPr>
        <w:t>ambar çıkış kayıtları yapılır.</w:t>
      </w:r>
    </w:p>
    <w:p w:rsidR="00876A90" w:rsidRPr="008163C3" w:rsidRDefault="00876A90" w:rsidP="003522A9">
      <w:pPr>
        <w:pStyle w:val="ListeParagraf"/>
        <w:numPr>
          <w:ilvl w:val="0"/>
          <w:numId w:val="12"/>
        </w:numPr>
        <w:spacing w:before="120" w:after="100" w:afterAutospacing="1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3C3">
        <w:rPr>
          <w:rFonts w:ascii="Times New Roman" w:hAnsi="Times New Roman" w:cs="Times New Roman"/>
          <w:sz w:val="24"/>
          <w:szCs w:val="24"/>
        </w:rPr>
        <w:t xml:space="preserve">Ambar çıkış işlemlerine ait Taşınır İşlem Fişleri üçer aylık </w:t>
      </w:r>
      <w:proofErr w:type="gramStart"/>
      <w:r w:rsidRPr="008163C3">
        <w:rPr>
          <w:rFonts w:ascii="Times New Roman" w:hAnsi="Times New Roman" w:cs="Times New Roman"/>
          <w:sz w:val="24"/>
          <w:szCs w:val="24"/>
        </w:rPr>
        <w:t>periyotlar</w:t>
      </w:r>
      <w:proofErr w:type="gramEnd"/>
      <w:r w:rsidRPr="008163C3">
        <w:rPr>
          <w:rFonts w:ascii="Times New Roman" w:hAnsi="Times New Roman" w:cs="Times New Roman"/>
          <w:sz w:val="24"/>
          <w:szCs w:val="24"/>
        </w:rPr>
        <w:t xml:space="preserve"> halinde İl Defterdarlığı Muhasebe Müdürlüğü yetkilisine üst yazı ile bildirilerek kullanılan malzemelerin saymanlık kayıtlarından düşümü yapılır.</w:t>
      </w:r>
    </w:p>
    <w:p w:rsidR="00876A90" w:rsidRDefault="00876A90" w:rsidP="002132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23E">
        <w:rPr>
          <w:rFonts w:ascii="Times New Roman" w:hAnsi="Times New Roman" w:cs="Times New Roman"/>
          <w:b/>
          <w:bCs/>
          <w:sz w:val="24"/>
          <w:szCs w:val="24"/>
        </w:rPr>
        <w:t xml:space="preserve">3.3 Dayanıklı Taşınırların </w:t>
      </w:r>
      <w:r>
        <w:rPr>
          <w:rFonts w:ascii="Times New Roman" w:hAnsi="Times New Roman" w:cs="Times New Roman"/>
          <w:b/>
          <w:bCs/>
          <w:sz w:val="24"/>
          <w:szCs w:val="24"/>
        </w:rPr>
        <w:t>Kayıttan Düşümü</w:t>
      </w:r>
      <w:r w:rsidRPr="0021323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76A90" w:rsidRPr="0021323E" w:rsidRDefault="00876A90" w:rsidP="002132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90" w:rsidRPr="0021323E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Kayıttan düşülecek</w:t>
      </w:r>
      <w:r w:rsidRPr="0021323E">
        <w:rPr>
          <w:rFonts w:ascii="Times New Roman" w:hAnsi="Times New Roman" w:cs="Times New Roman"/>
          <w:sz w:val="24"/>
          <w:szCs w:val="24"/>
        </w:rPr>
        <w:t xml:space="preserve"> dayanıklı taşınırlara ait </w:t>
      </w:r>
      <w:r>
        <w:rPr>
          <w:rFonts w:ascii="Times New Roman" w:hAnsi="Times New Roman" w:cs="Times New Roman"/>
          <w:sz w:val="24"/>
          <w:szCs w:val="24"/>
        </w:rPr>
        <w:t>kurum</w:t>
      </w:r>
      <w:r w:rsidRPr="0021323E">
        <w:rPr>
          <w:rFonts w:ascii="Times New Roman" w:hAnsi="Times New Roman" w:cs="Times New Roman"/>
          <w:sz w:val="24"/>
          <w:szCs w:val="24"/>
        </w:rPr>
        <w:t xml:space="preserve"> veya firma yetkilisince teknik rapor düzenlenir.</w:t>
      </w:r>
    </w:p>
    <w:p w:rsidR="00876A90" w:rsidRPr="0021323E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Kayıttan düşülecek </w:t>
      </w:r>
      <w:r w:rsidRPr="0021323E">
        <w:rPr>
          <w:rFonts w:ascii="Times New Roman" w:hAnsi="Times New Roman" w:cs="Times New Roman"/>
          <w:sz w:val="24"/>
          <w:szCs w:val="24"/>
        </w:rPr>
        <w:t xml:space="preserve">malzemelere ait </w:t>
      </w:r>
      <w:r>
        <w:rPr>
          <w:rFonts w:ascii="Times New Roman" w:hAnsi="Times New Roman" w:cs="Times New Roman"/>
          <w:sz w:val="24"/>
          <w:szCs w:val="24"/>
        </w:rPr>
        <w:t xml:space="preserve">KBS Taşınır Kayıt ve Yönetim Sisteminden </w:t>
      </w:r>
      <w:r w:rsidRPr="0021323E">
        <w:rPr>
          <w:rFonts w:ascii="Times New Roman" w:hAnsi="Times New Roman" w:cs="Times New Roman"/>
          <w:sz w:val="24"/>
          <w:szCs w:val="24"/>
        </w:rPr>
        <w:t>Taşınır İşlem Fişi (hurda) kesilir.</w:t>
      </w:r>
    </w:p>
    <w:p w:rsidR="00876A90" w:rsidRPr="003522A9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Kayıttan düşülecek</w:t>
      </w:r>
      <w:r w:rsidRPr="0021323E">
        <w:rPr>
          <w:rFonts w:ascii="Times New Roman" w:hAnsi="Times New Roman" w:cs="Times New Roman"/>
          <w:sz w:val="24"/>
          <w:szCs w:val="24"/>
        </w:rPr>
        <w:t xml:space="preserve"> malzemelere ait </w:t>
      </w:r>
      <w:r>
        <w:rPr>
          <w:rFonts w:ascii="Times New Roman" w:hAnsi="Times New Roman" w:cs="Times New Roman"/>
          <w:sz w:val="24"/>
          <w:szCs w:val="24"/>
        </w:rPr>
        <w:t xml:space="preserve">KBS Taşınır Kayıt ve Yönetim Sisteminden </w:t>
      </w:r>
      <w:r w:rsidRPr="0021323E">
        <w:rPr>
          <w:rFonts w:ascii="Times New Roman" w:hAnsi="Times New Roman" w:cs="Times New Roman"/>
          <w:sz w:val="24"/>
          <w:szCs w:val="24"/>
        </w:rPr>
        <w:t xml:space="preserve">Kayıttan Düşme Teklif ve Onay Tutanağı hazırlanarak Taşınır Kayıt </w:t>
      </w:r>
      <w:proofErr w:type="gramStart"/>
      <w:r w:rsidRPr="0021323E">
        <w:rPr>
          <w:rFonts w:ascii="Times New Roman" w:hAnsi="Times New Roman" w:cs="Times New Roman"/>
          <w:sz w:val="24"/>
          <w:szCs w:val="24"/>
        </w:rPr>
        <w:t>ve</w:t>
      </w:r>
      <w:r w:rsidR="009F00D1">
        <w:rPr>
          <w:rFonts w:ascii="Times New Roman" w:hAnsi="Times New Roman" w:cs="Times New Roman"/>
          <w:sz w:val="24"/>
          <w:szCs w:val="24"/>
        </w:rPr>
        <w:t xml:space="preserve"> </w:t>
      </w:r>
      <w:r w:rsidRPr="0021323E">
        <w:rPr>
          <w:rFonts w:ascii="Times New Roman" w:hAnsi="Times New Roman" w:cs="Times New Roman"/>
          <w:sz w:val="24"/>
          <w:szCs w:val="24"/>
        </w:rPr>
        <w:t xml:space="preserve"> Kontrol</w:t>
      </w:r>
      <w:proofErr w:type="gramEnd"/>
      <w:r w:rsidRPr="0021323E">
        <w:rPr>
          <w:rFonts w:ascii="Times New Roman" w:hAnsi="Times New Roman" w:cs="Times New Roman"/>
          <w:sz w:val="24"/>
          <w:szCs w:val="24"/>
        </w:rPr>
        <w:t xml:space="preserve"> Yetkilisi, Gerçekleştirme Görevlisi, Uzman, Harcama Yetkilisi ve Üst Yönetici tarafından imzalanır.</w:t>
      </w:r>
    </w:p>
    <w:p w:rsidR="00876A90" w:rsidRPr="0021323E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Kayıttan düşülecek</w:t>
      </w:r>
      <w:r w:rsidRPr="0021323E">
        <w:rPr>
          <w:rFonts w:ascii="Times New Roman" w:hAnsi="Times New Roman" w:cs="Times New Roman"/>
          <w:sz w:val="24"/>
          <w:szCs w:val="24"/>
        </w:rPr>
        <w:t xml:space="preserve"> malzemeler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323E">
        <w:rPr>
          <w:rFonts w:ascii="Times New Roman" w:hAnsi="Times New Roman" w:cs="Times New Roman"/>
          <w:sz w:val="24"/>
          <w:szCs w:val="24"/>
        </w:rPr>
        <w:t xml:space="preserve"> satışının yapılması amac</w:t>
      </w:r>
      <w:r>
        <w:rPr>
          <w:rFonts w:ascii="Times New Roman" w:hAnsi="Times New Roman" w:cs="Times New Roman"/>
          <w:sz w:val="24"/>
          <w:szCs w:val="24"/>
        </w:rPr>
        <w:t>ı ile İl Defterdarlığı Milli Emlak Müdürlüğüne yazı ile bildirilip,</w:t>
      </w:r>
      <w:r w:rsidRPr="0021323E">
        <w:rPr>
          <w:rFonts w:ascii="Times New Roman" w:hAnsi="Times New Roman" w:cs="Times New Roman"/>
          <w:sz w:val="24"/>
          <w:szCs w:val="24"/>
        </w:rPr>
        <w:t xml:space="preserve"> malzemeler Taşınır İşlem Fişi ile teslim edilir.</w:t>
      </w:r>
    </w:p>
    <w:p w:rsidR="00876A90" w:rsidRPr="0021323E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Kayıttan düşülen</w:t>
      </w:r>
      <w:r w:rsidRPr="0021323E">
        <w:rPr>
          <w:rFonts w:ascii="Times New Roman" w:hAnsi="Times New Roman" w:cs="Times New Roman"/>
          <w:sz w:val="24"/>
          <w:szCs w:val="24"/>
        </w:rPr>
        <w:t xml:space="preserve"> dayanıklı taşınırlara ait Taşınır İşlem Fişi (hurda) ve Kayıttan Düşme Teklif ve Onay Tutanağı İl Defterdarlığı Muhasebe Müdürlüğüne gönderilerek ilgili malzemelerin saymanlık kayıtlarından düşümü yapılır.</w:t>
      </w:r>
    </w:p>
    <w:p w:rsidR="00876A90" w:rsidRPr="0021323E" w:rsidRDefault="00876A90" w:rsidP="003522A9">
      <w:pPr>
        <w:pStyle w:val="ListeParagraf"/>
        <w:numPr>
          <w:ilvl w:val="0"/>
          <w:numId w:val="14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323E">
        <w:rPr>
          <w:rFonts w:ascii="Times New Roman" w:hAnsi="Times New Roman" w:cs="Times New Roman"/>
          <w:sz w:val="24"/>
          <w:szCs w:val="24"/>
        </w:rPr>
        <w:t>Bütün işlemlerin bir nüshası Taşınır İşlemleri Dosyasında muhafaza edilir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A90" w:rsidRPr="006B0E4B" w:rsidRDefault="00876A9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4.REFERANSLAR</w:t>
      </w:r>
    </w:p>
    <w:p w:rsidR="00876A90" w:rsidRPr="006B0E4B" w:rsidRDefault="00876A9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90" w:rsidRDefault="00876A90" w:rsidP="006B0E4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5018 sayılı Kamu Mali Yönetimi ve Kontrol Kanunu</w:t>
      </w:r>
    </w:p>
    <w:p w:rsidR="00876A90" w:rsidRDefault="0006030A" w:rsidP="006B0E4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6A90" w:rsidRPr="00450BF9">
          <w:rPr>
            <w:rStyle w:val="Kpr"/>
            <w:rFonts w:ascii="Times New Roman" w:hAnsi="Times New Roman"/>
            <w:sz w:val="24"/>
            <w:szCs w:val="24"/>
          </w:rPr>
          <w:t>Taşınır Mal Yönetmeliği</w:t>
        </w:r>
      </w:hyperlink>
      <w:bookmarkStart w:id="0" w:name="_GoBack"/>
      <w:bookmarkEnd w:id="0"/>
      <w:r w:rsidR="00876A90" w:rsidRPr="006B0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90" w:rsidRPr="006B0E4B" w:rsidRDefault="00876A90" w:rsidP="00F54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A90" w:rsidRPr="006B0E4B" w:rsidRDefault="00876A9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KAYITLAR</w:t>
      </w:r>
    </w:p>
    <w:p w:rsidR="00876A90" w:rsidRPr="006B0E4B" w:rsidRDefault="00876A90" w:rsidP="00D94CCE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Taşınır Kayıt ve Yönetim Sistemi(TKYS)</w:t>
      </w:r>
    </w:p>
    <w:p w:rsidR="00876A90" w:rsidRPr="006B0E4B" w:rsidRDefault="00876A9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A90" w:rsidRDefault="00876A90" w:rsidP="00F54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0E4B">
        <w:rPr>
          <w:rFonts w:ascii="Times New Roman" w:hAnsi="Times New Roman" w:cs="Times New Roman"/>
          <w:b/>
          <w:bCs/>
          <w:sz w:val="24"/>
          <w:szCs w:val="24"/>
        </w:rPr>
        <w:t>6.REVİZYON TARİHÇESİ</w:t>
      </w:r>
    </w:p>
    <w:p w:rsidR="007E3FCF" w:rsidRDefault="007E3FCF" w:rsidP="00F54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9"/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94"/>
        <w:gridCol w:w="948"/>
        <w:gridCol w:w="5039"/>
        <w:gridCol w:w="1231"/>
        <w:gridCol w:w="1461"/>
      </w:tblGrid>
      <w:tr w:rsidR="007E3FCF" w:rsidRPr="000A5FEE" w:rsidTr="00253595">
        <w:trPr>
          <w:trHeight w:val="525"/>
        </w:trPr>
        <w:tc>
          <w:tcPr>
            <w:tcW w:w="994" w:type="dxa"/>
            <w:vAlign w:val="center"/>
          </w:tcPr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F5B3C">
              <w:rPr>
                <w:b/>
                <w:sz w:val="24"/>
                <w:szCs w:val="24"/>
              </w:rPr>
              <w:t>Rev</w:t>
            </w:r>
            <w:proofErr w:type="spellEnd"/>
            <w:r w:rsidRPr="00BF5B3C">
              <w:rPr>
                <w:b/>
                <w:sz w:val="24"/>
                <w:szCs w:val="24"/>
              </w:rPr>
              <w:t>.</w:t>
            </w:r>
          </w:p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48" w:type="dxa"/>
            <w:vAlign w:val="center"/>
          </w:tcPr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5039" w:type="dxa"/>
            <w:vAlign w:val="center"/>
          </w:tcPr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Değişiklik Sebebi</w:t>
            </w:r>
          </w:p>
        </w:tc>
        <w:tc>
          <w:tcPr>
            <w:tcW w:w="1231" w:type="dxa"/>
            <w:vAlign w:val="center"/>
          </w:tcPr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Onay</w:t>
            </w:r>
          </w:p>
        </w:tc>
        <w:tc>
          <w:tcPr>
            <w:tcW w:w="1461" w:type="dxa"/>
            <w:vAlign w:val="center"/>
          </w:tcPr>
          <w:p w:rsidR="007E3FCF" w:rsidRPr="00BF5B3C" w:rsidRDefault="007E3FCF" w:rsidP="00253595">
            <w:pPr>
              <w:jc w:val="both"/>
              <w:rPr>
                <w:b/>
                <w:sz w:val="24"/>
                <w:szCs w:val="24"/>
              </w:rPr>
            </w:pPr>
            <w:r w:rsidRPr="00BF5B3C">
              <w:rPr>
                <w:b/>
                <w:sz w:val="24"/>
                <w:szCs w:val="24"/>
              </w:rPr>
              <w:t>Tarih</w:t>
            </w:r>
          </w:p>
        </w:tc>
      </w:tr>
      <w:tr w:rsidR="007E3FCF" w:rsidRPr="000A5FEE" w:rsidTr="00253595">
        <w:trPr>
          <w:trHeight w:val="567"/>
        </w:trPr>
        <w:tc>
          <w:tcPr>
            <w:tcW w:w="994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Rev</w:t>
            </w:r>
            <w:proofErr w:type="spellEnd"/>
            <w:r>
              <w:rPr>
                <w:sz w:val="24"/>
                <w:szCs w:val="24"/>
              </w:rPr>
              <w:t xml:space="preserve"> 01</w:t>
            </w:r>
          </w:p>
        </w:tc>
        <w:tc>
          <w:tcPr>
            <w:tcW w:w="948" w:type="dxa"/>
            <w:vAlign w:val="center"/>
          </w:tcPr>
          <w:p w:rsidR="007E3FCF" w:rsidRPr="00BF5B3C" w:rsidRDefault="009F00D1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7E3FCF" w:rsidRPr="00BF5B3C" w:rsidRDefault="009F00D1" w:rsidP="0025359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Taşınır Mal Yönetmeliği gereğince Taşınır Kayıt Yetkilisi ve Taşınır Kontrol Yetkilisi ayrılmasından dolayı sorumluluklar kısmına 4 üncü madde eklenmiştir.</w:t>
            </w:r>
          </w:p>
        </w:tc>
        <w:tc>
          <w:tcPr>
            <w:tcW w:w="1231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  <w:r w:rsidRPr="00BF5B3C">
              <w:rPr>
                <w:sz w:val="24"/>
                <w:szCs w:val="24"/>
              </w:rPr>
              <w:t>YT</w:t>
            </w:r>
          </w:p>
        </w:tc>
        <w:tc>
          <w:tcPr>
            <w:tcW w:w="1461" w:type="dxa"/>
            <w:vAlign w:val="center"/>
          </w:tcPr>
          <w:p w:rsidR="007E3FCF" w:rsidRPr="00BF5B3C" w:rsidRDefault="00E20EE3" w:rsidP="00253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23.06.2016</w:t>
            </w:r>
          </w:p>
        </w:tc>
      </w:tr>
      <w:tr w:rsidR="007E3FCF" w:rsidRPr="000A5FEE" w:rsidTr="00253595">
        <w:trPr>
          <w:trHeight w:val="567"/>
        </w:trPr>
        <w:tc>
          <w:tcPr>
            <w:tcW w:w="994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39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E3FCF" w:rsidRPr="00BF5B3C" w:rsidRDefault="007E3FCF" w:rsidP="00253595">
            <w:pPr>
              <w:jc w:val="both"/>
              <w:rPr>
                <w:sz w:val="24"/>
                <w:szCs w:val="24"/>
              </w:rPr>
            </w:pPr>
          </w:p>
        </w:tc>
      </w:tr>
    </w:tbl>
    <w:p w:rsidR="00876A90" w:rsidRDefault="00876A90"/>
    <w:sectPr w:rsidR="00876A90" w:rsidSect="003522A9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94" w:rsidRDefault="00583394" w:rsidP="0007416F">
      <w:pPr>
        <w:spacing w:after="0" w:line="240" w:lineRule="auto"/>
      </w:pPr>
      <w:r>
        <w:separator/>
      </w:r>
    </w:p>
  </w:endnote>
  <w:endnote w:type="continuationSeparator" w:id="0">
    <w:p w:rsidR="00583394" w:rsidRDefault="00583394" w:rsidP="0007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68"/>
      <w:gridCol w:w="3128"/>
      <w:gridCol w:w="3098"/>
    </w:tblGrid>
    <w:tr w:rsidR="00876A90" w:rsidRPr="00FC596B">
      <w:trPr>
        <w:trHeight w:val="567"/>
      </w:trPr>
      <w:tc>
        <w:tcPr>
          <w:tcW w:w="3464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Hazırlayan</w:t>
          </w:r>
        </w:p>
      </w:tc>
      <w:tc>
        <w:tcPr>
          <w:tcW w:w="3464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3387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876A90" w:rsidRPr="00FC596B">
      <w:trPr>
        <w:trHeight w:val="843"/>
      </w:trPr>
      <w:tc>
        <w:tcPr>
          <w:tcW w:w="3464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KYSS</w:t>
          </w:r>
        </w:p>
      </w:tc>
      <w:tc>
        <w:tcPr>
          <w:tcW w:w="3464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Birim Müdürü</w:t>
          </w:r>
        </w:p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3387" w:type="dxa"/>
        </w:tcPr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Yönetim Temsilcisi</w:t>
          </w:r>
        </w:p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876A90" w:rsidRPr="00FC596B" w:rsidRDefault="00876A90" w:rsidP="00026D38">
          <w:pPr>
            <w:pStyle w:val="Al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:rsidR="00876A90" w:rsidRDefault="00876A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94" w:rsidRDefault="00583394" w:rsidP="0007416F">
      <w:pPr>
        <w:spacing w:after="0" w:line="240" w:lineRule="auto"/>
      </w:pPr>
      <w:r>
        <w:separator/>
      </w:r>
    </w:p>
  </w:footnote>
  <w:footnote w:type="continuationSeparator" w:id="0">
    <w:p w:rsidR="00583394" w:rsidRDefault="00583394" w:rsidP="0007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4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670"/>
      <w:gridCol w:w="3777"/>
      <w:gridCol w:w="1563"/>
      <w:gridCol w:w="1874"/>
      <w:gridCol w:w="1460"/>
    </w:tblGrid>
    <w:tr w:rsidR="00876A90" w:rsidRPr="00FC596B" w:rsidTr="00B27F09">
      <w:trPr>
        <w:cantSplit/>
        <w:trHeight w:val="550"/>
      </w:trPr>
      <w:tc>
        <w:tcPr>
          <w:tcW w:w="1619" w:type="dxa"/>
          <w:vMerge w:val="restart"/>
          <w:vAlign w:val="center"/>
        </w:tcPr>
        <w:p w:rsidR="00876A90" w:rsidRPr="00FC596B" w:rsidRDefault="00DF4AE6" w:rsidP="000150AA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42975" cy="86677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dxa"/>
        </w:tcPr>
        <w:p w:rsidR="00876A90" w:rsidRPr="00FC596B" w:rsidRDefault="00876A90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876A90" w:rsidRPr="00FC596B" w:rsidRDefault="00876A90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876A90" w:rsidRPr="00FC596B" w:rsidRDefault="00876A90" w:rsidP="000150A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İdari Hizmetler Şube Müdürlüğü</w:t>
          </w:r>
        </w:p>
      </w:tc>
      <w:tc>
        <w:tcPr>
          <w:tcW w:w="1598" w:type="dxa"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76A90" w:rsidRPr="00FC596B" w:rsidRDefault="00876A90" w:rsidP="008269B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İHŞM</w:t>
          </w: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.TL</w:t>
          </w:r>
          <w:proofErr w:type="gramEnd"/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03</w:t>
          </w:r>
        </w:p>
      </w:tc>
      <w:tc>
        <w:tcPr>
          <w:tcW w:w="1452" w:type="dxa"/>
          <w:vMerge w:val="restart"/>
        </w:tcPr>
        <w:p w:rsidR="00876A90" w:rsidRPr="00FC596B" w:rsidRDefault="00DF4AE6" w:rsidP="008161FB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19150" cy="933450"/>
                <wp:effectExtent l="19050" t="0" r="0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A90" w:rsidRPr="00FC596B" w:rsidTr="00B27F09">
      <w:trPr>
        <w:cantSplit/>
        <w:trHeight w:val="146"/>
      </w:trPr>
      <w:tc>
        <w:tcPr>
          <w:tcW w:w="1619" w:type="dxa"/>
          <w:vMerge/>
        </w:tcPr>
        <w:p w:rsidR="00876A90" w:rsidRPr="00FC596B" w:rsidRDefault="00876A9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23" w:type="dxa"/>
          <w:vMerge w:val="restart"/>
          <w:vAlign w:val="center"/>
        </w:tcPr>
        <w:p w:rsidR="00876A90" w:rsidRPr="00FC596B" w:rsidRDefault="00876A90" w:rsidP="00E92195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C596B">
            <w:rPr>
              <w:rFonts w:ascii="Times New Roman" w:hAnsi="Times New Roman" w:cs="Times New Roman"/>
              <w:b/>
              <w:bCs/>
              <w:sz w:val="24"/>
              <w:szCs w:val="24"/>
            </w:rPr>
            <w:t>Ambar Malzeme Giriş-Çıkış ve Düşüm Talimatı</w:t>
          </w:r>
        </w:p>
      </w:tc>
      <w:tc>
        <w:tcPr>
          <w:tcW w:w="1598" w:type="dxa"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76A90" w:rsidRPr="00FC596B" w:rsidRDefault="00876A90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09.01.2015</w:t>
          </w:r>
        </w:p>
      </w:tc>
      <w:tc>
        <w:tcPr>
          <w:tcW w:w="1452" w:type="dxa"/>
          <w:vMerge/>
        </w:tcPr>
        <w:p w:rsidR="00876A90" w:rsidRDefault="00876A90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76A90" w:rsidRPr="00FC596B" w:rsidTr="00B27F09">
      <w:trPr>
        <w:cantSplit/>
        <w:trHeight w:val="146"/>
      </w:trPr>
      <w:tc>
        <w:tcPr>
          <w:tcW w:w="1619" w:type="dxa"/>
          <w:vMerge/>
        </w:tcPr>
        <w:p w:rsidR="00876A90" w:rsidRPr="00FC596B" w:rsidRDefault="00876A9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23" w:type="dxa"/>
          <w:vMerge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98" w:type="dxa"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76A90" w:rsidRPr="00FC596B" w:rsidRDefault="00E20EE3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</w:t>
          </w:r>
        </w:p>
      </w:tc>
      <w:tc>
        <w:tcPr>
          <w:tcW w:w="1452" w:type="dxa"/>
          <w:vMerge/>
        </w:tcPr>
        <w:p w:rsidR="00876A90" w:rsidRPr="00FC596B" w:rsidRDefault="00876A90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76A90" w:rsidRPr="00FC596B" w:rsidTr="00B27F09">
      <w:trPr>
        <w:cantSplit/>
        <w:trHeight w:val="146"/>
      </w:trPr>
      <w:tc>
        <w:tcPr>
          <w:tcW w:w="1619" w:type="dxa"/>
          <w:vMerge/>
        </w:tcPr>
        <w:p w:rsidR="00876A90" w:rsidRPr="00FC596B" w:rsidRDefault="00876A9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23" w:type="dxa"/>
          <w:vMerge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98" w:type="dxa"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76A90" w:rsidRPr="00FC596B" w:rsidRDefault="00E20EE3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23.06.2016</w:t>
          </w:r>
        </w:p>
      </w:tc>
      <w:tc>
        <w:tcPr>
          <w:tcW w:w="1452" w:type="dxa"/>
          <w:vMerge/>
        </w:tcPr>
        <w:p w:rsidR="00876A90" w:rsidRPr="00FC596B" w:rsidRDefault="00876A90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876A90" w:rsidRPr="00FC596B" w:rsidTr="00B27F09">
      <w:trPr>
        <w:cantSplit/>
        <w:trHeight w:val="146"/>
      </w:trPr>
      <w:tc>
        <w:tcPr>
          <w:tcW w:w="1619" w:type="dxa"/>
          <w:vMerge/>
        </w:tcPr>
        <w:p w:rsidR="00876A90" w:rsidRPr="00FC596B" w:rsidRDefault="00876A90" w:rsidP="000150AA">
          <w:pPr>
            <w:pStyle w:val="stbilgi"/>
            <w:rPr>
              <w:sz w:val="24"/>
              <w:szCs w:val="24"/>
            </w:rPr>
          </w:pPr>
        </w:p>
      </w:tc>
      <w:tc>
        <w:tcPr>
          <w:tcW w:w="3923" w:type="dxa"/>
          <w:vMerge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98" w:type="dxa"/>
        </w:tcPr>
        <w:p w:rsidR="00876A90" w:rsidRPr="00FC596B" w:rsidRDefault="00876A90" w:rsidP="000150AA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76A90" w:rsidRPr="00FC596B" w:rsidRDefault="0006030A" w:rsidP="00C823F9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="00876A90"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PAGE </w:instrText>
          </w: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C3B33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1</w:t>
          </w: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="00876A90" w:rsidRPr="00FC596B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="00876A90"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instrText xml:space="preserve"> NUMPAGES </w:instrText>
          </w: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C3B33">
            <w:rPr>
              <w:rStyle w:val="SayfaNumaras"/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FC596B"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452" w:type="dxa"/>
          <w:vMerge/>
        </w:tcPr>
        <w:p w:rsidR="00876A90" w:rsidRPr="00FC596B" w:rsidRDefault="00876A90" w:rsidP="00C823F9">
          <w:pPr>
            <w:pStyle w:val="stbilgi"/>
            <w:rPr>
              <w:rStyle w:val="SayfaNumaras"/>
              <w:rFonts w:ascii="Times New Roman" w:hAnsi="Times New Roman"/>
              <w:b/>
              <w:bCs/>
              <w:sz w:val="20"/>
              <w:szCs w:val="20"/>
            </w:rPr>
          </w:pPr>
        </w:p>
      </w:tc>
    </w:tr>
  </w:tbl>
  <w:p w:rsidR="00876A90" w:rsidRDefault="00876A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366"/>
    <w:multiLevelType w:val="hybridMultilevel"/>
    <w:tmpl w:val="F276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475C"/>
    <w:multiLevelType w:val="hybridMultilevel"/>
    <w:tmpl w:val="B5C83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15F4"/>
    <w:multiLevelType w:val="hybridMultilevel"/>
    <w:tmpl w:val="438CDE08"/>
    <w:lvl w:ilvl="0" w:tplc="6448B66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DB524C"/>
    <w:multiLevelType w:val="hybridMultilevel"/>
    <w:tmpl w:val="08840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7025"/>
    <w:multiLevelType w:val="hybridMultilevel"/>
    <w:tmpl w:val="36BAE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51C56"/>
    <w:multiLevelType w:val="multilevel"/>
    <w:tmpl w:val="A59CD17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6">
    <w:nsid w:val="34DB6430"/>
    <w:multiLevelType w:val="hybridMultilevel"/>
    <w:tmpl w:val="6FC433D2"/>
    <w:lvl w:ilvl="0" w:tplc="C248F966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812AA"/>
    <w:multiLevelType w:val="hybridMultilevel"/>
    <w:tmpl w:val="586A3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606C5"/>
    <w:multiLevelType w:val="multilevel"/>
    <w:tmpl w:val="CE10F8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12B2EF9"/>
    <w:multiLevelType w:val="hybridMultilevel"/>
    <w:tmpl w:val="7B5AA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175CA"/>
    <w:multiLevelType w:val="hybridMultilevel"/>
    <w:tmpl w:val="162C1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45287"/>
    <w:multiLevelType w:val="hybridMultilevel"/>
    <w:tmpl w:val="B4361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E3099"/>
    <w:multiLevelType w:val="hybridMultilevel"/>
    <w:tmpl w:val="941C8D74"/>
    <w:lvl w:ilvl="0" w:tplc="4AA86A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12A96FA"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0C2EA8"/>
    <w:multiLevelType w:val="hybridMultilevel"/>
    <w:tmpl w:val="2272D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4485F"/>
    <w:multiLevelType w:val="hybridMultilevel"/>
    <w:tmpl w:val="4CCA2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7416F"/>
    <w:rsid w:val="000073E5"/>
    <w:rsid w:val="00011F92"/>
    <w:rsid w:val="00013A90"/>
    <w:rsid w:val="000150AA"/>
    <w:rsid w:val="00026D38"/>
    <w:rsid w:val="0006030A"/>
    <w:rsid w:val="000715BE"/>
    <w:rsid w:val="0007416F"/>
    <w:rsid w:val="000A7C6A"/>
    <w:rsid w:val="000B5B33"/>
    <w:rsid w:val="000C2F46"/>
    <w:rsid w:val="000C3091"/>
    <w:rsid w:val="000D7A6F"/>
    <w:rsid w:val="00104870"/>
    <w:rsid w:val="001169FD"/>
    <w:rsid w:val="00120E34"/>
    <w:rsid w:val="00150B6D"/>
    <w:rsid w:val="00153D58"/>
    <w:rsid w:val="00174AE5"/>
    <w:rsid w:val="001A7EB9"/>
    <w:rsid w:val="001C22B1"/>
    <w:rsid w:val="001C6645"/>
    <w:rsid w:val="001E268B"/>
    <w:rsid w:val="001F0492"/>
    <w:rsid w:val="001F410F"/>
    <w:rsid w:val="0021323E"/>
    <w:rsid w:val="00216F2C"/>
    <w:rsid w:val="00231FD4"/>
    <w:rsid w:val="00243FD0"/>
    <w:rsid w:val="002942CD"/>
    <w:rsid w:val="002B1A62"/>
    <w:rsid w:val="002D45F6"/>
    <w:rsid w:val="002F6475"/>
    <w:rsid w:val="002F79DB"/>
    <w:rsid w:val="0032137A"/>
    <w:rsid w:val="00327313"/>
    <w:rsid w:val="00336830"/>
    <w:rsid w:val="003522A9"/>
    <w:rsid w:val="00352FB6"/>
    <w:rsid w:val="00375898"/>
    <w:rsid w:val="003918C4"/>
    <w:rsid w:val="003A32C5"/>
    <w:rsid w:val="003A7C19"/>
    <w:rsid w:val="003B41F7"/>
    <w:rsid w:val="003C62E3"/>
    <w:rsid w:val="003D76D4"/>
    <w:rsid w:val="003F0216"/>
    <w:rsid w:val="00440C17"/>
    <w:rsid w:val="00450BF9"/>
    <w:rsid w:val="0045108D"/>
    <w:rsid w:val="004624C5"/>
    <w:rsid w:val="00494A01"/>
    <w:rsid w:val="00496266"/>
    <w:rsid w:val="004B0A1E"/>
    <w:rsid w:val="004B305B"/>
    <w:rsid w:val="004B5CEE"/>
    <w:rsid w:val="004C2080"/>
    <w:rsid w:val="004C52F5"/>
    <w:rsid w:val="004D7B81"/>
    <w:rsid w:val="004E0EEE"/>
    <w:rsid w:val="005057DB"/>
    <w:rsid w:val="0051675F"/>
    <w:rsid w:val="005232B7"/>
    <w:rsid w:val="005321F4"/>
    <w:rsid w:val="0053648C"/>
    <w:rsid w:val="00552A50"/>
    <w:rsid w:val="00552E44"/>
    <w:rsid w:val="005556D4"/>
    <w:rsid w:val="005701F3"/>
    <w:rsid w:val="00583394"/>
    <w:rsid w:val="005A3532"/>
    <w:rsid w:val="005B158D"/>
    <w:rsid w:val="005B6E89"/>
    <w:rsid w:val="005F7087"/>
    <w:rsid w:val="00611082"/>
    <w:rsid w:val="0062176C"/>
    <w:rsid w:val="00645D50"/>
    <w:rsid w:val="00647234"/>
    <w:rsid w:val="0065469F"/>
    <w:rsid w:val="006A25CE"/>
    <w:rsid w:val="006B0E4B"/>
    <w:rsid w:val="006B3C42"/>
    <w:rsid w:val="006C3D76"/>
    <w:rsid w:val="006E041B"/>
    <w:rsid w:val="007266C3"/>
    <w:rsid w:val="00747AFB"/>
    <w:rsid w:val="007508B4"/>
    <w:rsid w:val="00751DB7"/>
    <w:rsid w:val="0076727A"/>
    <w:rsid w:val="00770313"/>
    <w:rsid w:val="00771FCE"/>
    <w:rsid w:val="00775B65"/>
    <w:rsid w:val="007823BE"/>
    <w:rsid w:val="00782BFF"/>
    <w:rsid w:val="00783AA5"/>
    <w:rsid w:val="0078553C"/>
    <w:rsid w:val="00793CB7"/>
    <w:rsid w:val="007A174F"/>
    <w:rsid w:val="007A1D12"/>
    <w:rsid w:val="007E3FCF"/>
    <w:rsid w:val="0080348C"/>
    <w:rsid w:val="008161FB"/>
    <w:rsid w:val="008163C3"/>
    <w:rsid w:val="008269B1"/>
    <w:rsid w:val="00830880"/>
    <w:rsid w:val="008356F4"/>
    <w:rsid w:val="008405DA"/>
    <w:rsid w:val="00867BBE"/>
    <w:rsid w:val="00873A73"/>
    <w:rsid w:val="00876A90"/>
    <w:rsid w:val="00877607"/>
    <w:rsid w:val="008856BC"/>
    <w:rsid w:val="008963AA"/>
    <w:rsid w:val="008A176B"/>
    <w:rsid w:val="008B0F5A"/>
    <w:rsid w:val="008B3068"/>
    <w:rsid w:val="008E75D9"/>
    <w:rsid w:val="009120DE"/>
    <w:rsid w:val="00912C17"/>
    <w:rsid w:val="00925772"/>
    <w:rsid w:val="00943B85"/>
    <w:rsid w:val="0094670E"/>
    <w:rsid w:val="00975985"/>
    <w:rsid w:val="009A70DA"/>
    <w:rsid w:val="009C3B33"/>
    <w:rsid w:val="009C48A8"/>
    <w:rsid w:val="009E6319"/>
    <w:rsid w:val="009F00D1"/>
    <w:rsid w:val="009F1E79"/>
    <w:rsid w:val="00A042C9"/>
    <w:rsid w:val="00A16FA2"/>
    <w:rsid w:val="00A30060"/>
    <w:rsid w:val="00A36647"/>
    <w:rsid w:val="00A53CD8"/>
    <w:rsid w:val="00A56F46"/>
    <w:rsid w:val="00A64FCB"/>
    <w:rsid w:val="00A70387"/>
    <w:rsid w:val="00A83D45"/>
    <w:rsid w:val="00A864F1"/>
    <w:rsid w:val="00A945D8"/>
    <w:rsid w:val="00AB42D5"/>
    <w:rsid w:val="00AC6F91"/>
    <w:rsid w:val="00AD0367"/>
    <w:rsid w:val="00AD5DD9"/>
    <w:rsid w:val="00AF7CA6"/>
    <w:rsid w:val="00B02C34"/>
    <w:rsid w:val="00B27F09"/>
    <w:rsid w:val="00B61F20"/>
    <w:rsid w:val="00B65411"/>
    <w:rsid w:val="00B73A1F"/>
    <w:rsid w:val="00B878B5"/>
    <w:rsid w:val="00BC2722"/>
    <w:rsid w:val="00BC2B6E"/>
    <w:rsid w:val="00BD5E19"/>
    <w:rsid w:val="00BE17B2"/>
    <w:rsid w:val="00BE70D3"/>
    <w:rsid w:val="00C06826"/>
    <w:rsid w:val="00C0737F"/>
    <w:rsid w:val="00C171FA"/>
    <w:rsid w:val="00C224FF"/>
    <w:rsid w:val="00C5445D"/>
    <w:rsid w:val="00C8035D"/>
    <w:rsid w:val="00C823F9"/>
    <w:rsid w:val="00C9363C"/>
    <w:rsid w:val="00C97124"/>
    <w:rsid w:val="00CB1080"/>
    <w:rsid w:val="00CC6BB5"/>
    <w:rsid w:val="00CD1DC2"/>
    <w:rsid w:val="00D21641"/>
    <w:rsid w:val="00D54EE3"/>
    <w:rsid w:val="00D54F57"/>
    <w:rsid w:val="00D56BCD"/>
    <w:rsid w:val="00D64313"/>
    <w:rsid w:val="00D80271"/>
    <w:rsid w:val="00D847A4"/>
    <w:rsid w:val="00D94CCE"/>
    <w:rsid w:val="00D96F13"/>
    <w:rsid w:val="00DA426E"/>
    <w:rsid w:val="00DA7D0B"/>
    <w:rsid w:val="00DB22A5"/>
    <w:rsid w:val="00DB6801"/>
    <w:rsid w:val="00DD4C30"/>
    <w:rsid w:val="00DE02D5"/>
    <w:rsid w:val="00DE3AF4"/>
    <w:rsid w:val="00DF1EF3"/>
    <w:rsid w:val="00DF4AE6"/>
    <w:rsid w:val="00E0779B"/>
    <w:rsid w:val="00E07910"/>
    <w:rsid w:val="00E13516"/>
    <w:rsid w:val="00E20EE3"/>
    <w:rsid w:val="00E248BC"/>
    <w:rsid w:val="00E25191"/>
    <w:rsid w:val="00E57A73"/>
    <w:rsid w:val="00E67C88"/>
    <w:rsid w:val="00E7773A"/>
    <w:rsid w:val="00E81287"/>
    <w:rsid w:val="00E84089"/>
    <w:rsid w:val="00E92195"/>
    <w:rsid w:val="00EE1782"/>
    <w:rsid w:val="00EE4CF2"/>
    <w:rsid w:val="00F13EED"/>
    <w:rsid w:val="00F26D77"/>
    <w:rsid w:val="00F466F7"/>
    <w:rsid w:val="00F541E0"/>
    <w:rsid w:val="00FC596B"/>
    <w:rsid w:val="00F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07416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7416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rsid w:val="0007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07416F"/>
    <w:rPr>
      <w:rFonts w:cs="Times New Roman"/>
    </w:rPr>
  </w:style>
  <w:style w:type="paragraph" w:styleId="ListeParagraf">
    <w:name w:val="List Paragraph"/>
    <w:basedOn w:val="Normal"/>
    <w:uiPriority w:val="99"/>
    <w:qFormat/>
    <w:rsid w:val="0076727A"/>
    <w:pPr>
      <w:ind w:left="720"/>
    </w:pPr>
  </w:style>
  <w:style w:type="character" w:styleId="Kpr">
    <w:name w:val="Hyperlink"/>
    <w:uiPriority w:val="99"/>
    <w:rsid w:val="000A7C6A"/>
    <w:rPr>
      <w:rFonts w:cs="Times New Roman"/>
      <w:color w:val="0000FF"/>
      <w:u w:val="single"/>
    </w:rPr>
  </w:style>
  <w:style w:type="character" w:styleId="SayfaNumaras">
    <w:name w:val="page number"/>
    <w:uiPriority w:val="99"/>
    <w:rsid w:val="00E921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/kurumlar/mersin.gov.tr/KYS/Y&#246;netmelikler/Tasinir_Mal_Y&#246;netmeli&#287;i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2446</Characters>
  <Application>Microsoft Office Word</Application>
  <DocSecurity>0</DocSecurity>
  <Lines>20</Lines>
  <Paragraphs>5</Paragraphs>
  <ScaleCrop>false</ScaleCrop>
  <Company>NeC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CASPER</cp:lastModifiedBy>
  <cp:revision>11</cp:revision>
  <cp:lastPrinted>2016-06-23T13:05:00Z</cp:lastPrinted>
  <dcterms:created xsi:type="dcterms:W3CDTF">2016-06-09T11:45:00Z</dcterms:created>
  <dcterms:modified xsi:type="dcterms:W3CDTF">2016-06-23T13:07:00Z</dcterms:modified>
</cp:coreProperties>
</file>